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EA" w:rsidRDefault="004D57B8">
      <w:pPr>
        <w:tabs>
          <w:tab w:val="left" w:pos="7655"/>
        </w:tabs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628EA" w:rsidRDefault="00612256">
      <w:pPr>
        <w:tabs>
          <w:tab w:val="left" w:pos="7655"/>
        </w:tabs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D57B8" w:rsidRDefault="00691515"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отдела </w:t>
      </w:r>
      <w:r w:rsidR="00612256">
        <w:rPr>
          <w:rFonts w:ascii="Times New Roman" w:hAnsi="Times New Roman"/>
          <w:sz w:val="28"/>
          <w:szCs w:val="28"/>
        </w:rPr>
        <w:t>образования</w:t>
      </w:r>
    </w:p>
    <w:p w:rsidR="00C628EA" w:rsidRDefault="004D57B8"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="00612256">
        <w:rPr>
          <w:rFonts w:ascii="Times New Roman" w:hAnsi="Times New Roman"/>
          <w:sz w:val="28"/>
          <w:szCs w:val="28"/>
        </w:rPr>
        <w:t xml:space="preserve"> </w:t>
      </w:r>
    </w:p>
    <w:p w:rsidR="00C628EA" w:rsidRDefault="004D57B8"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</w:p>
    <w:p w:rsidR="00C628EA" w:rsidRDefault="00C62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8EA" w:rsidRDefault="00C62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8EA" w:rsidRDefault="00612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 w:rsidR="00C628EA" w:rsidRDefault="00612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мероприятий по достижению  результата «Во всех субъектах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внедрена целевая модель развития региональных систем дополнительного образования детей»</w:t>
      </w:r>
    </w:p>
    <w:p w:rsidR="00C628EA" w:rsidRDefault="00612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проекта «Успех каждого ребенка»</w:t>
      </w:r>
    </w:p>
    <w:p w:rsidR="00C628EA" w:rsidRDefault="00C62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8EA" w:rsidRDefault="006122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Внедрение основных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положений </w:t>
      </w:r>
      <w:r w:rsidR="004D57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целевой модели развития региональных систем дополнительного образования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позволит:</w:t>
      </w:r>
    </w:p>
    <w:p w:rsidR="00C628EA" w:rsidRDefault="006122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проекта;</w:t>
      </w:r>
    </w:p>
    <w:p w:rsidR="00C628EA" w:rsidRDefault="006122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обеспечить  доступность дополнительного образования с учетом индивидуальных потребностей и особенностей детям  различных категорий (в том числе талантливых детей, детей с ограниченными возможностями з</w:t>
      </w:r>
      <w:r w:rsidR="0091753F">
        <w:rPr>
          <w:rFonts w:ascii="Times New Roman" w:eastAsia="Times New Roman" w:hAnsi="Times New Roman"/>
          <w:spacing w:val="-2"/>
          <w:sz w:val="28"/>
          <w:szCs w:val="28"/>
        </w:rPr>
        <w:t>доровья,</w:t>
      </w:r>
      <w:proofErr w:type="gramStart"/>
      <w:r w:rsidR="0091753F">
        <w:rPr>
          <w:rFonts w:ascii="Times New Roman" w:eastAsia="Times New Roman" w:hAnsi="Times New Roman"/>
          <w:spacing w:val="-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>находящихся в трудной жизненной ситуации, детей из малоимущих семей).</w:t>
      </w:r>
    </w:p>
    <w:p w:rsidR="00C628EA" w:rsidRDefault="00C62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4858"/>
        <w:gridCol w:w="2563"/>
        <w:gridCol w:w="2716"/>
        <w:gridCol w:w="3128"/>
      </w:tblGrid>
      <w:tr w:rsidR="00C628EA" w:rsidTr="001B49AC">
        <w:trPr>
          <w:tblHeader/>
        </w:trPr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628EA" w:rsidTr="004D57B8">
        <w:tc>
          <w:tcPr>
            <w:tcW w:w="14502" w:type="dxa"/>
            <w:gridSpan w:val="5"/>
            <w:shd w:val="clear" w:color="auto" w:fill="auto"/>
            <w:noWrap/>
          </w:tcPr>
          <w:p w:rsidR="00C628EA" w:rsidRDefault="006122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обновления содержания дополнительных общеобразовательных программ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реализуемых дополнительных общеобразовательных программ и их перечня на соответствие запросам потребителей и требованиям к структуре и качеству содержания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решения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C628EA" w:rsidRDefault="00691515" w:rsidP="0069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перечня и актуализация дополнительных общеобразовательных программ, их размещение в Программном навигаторе дополнительного образования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 w:rsidR="00F80269" w:rsidRDefault="00F80269" w:rsidP="00F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C628EA" w:rsidRDefault="00F80269" w:rsidP="00F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ДДТ – Муниципальный опорный 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="009175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Информационно-консультационное сопровождение детей, родителей, педагогов по вопросам самостоятельного построения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учебного плана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Информационные, методические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C628EA" w:rsidRDefault="00F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– Муниципальный опорный центр дополнительного образования</w:t>
            </w:r>
            <w:r w:rsidR="00612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5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в образовательный процесс дополнительных общеобразовательных программ, в т.ч. для детей с различными образовательными потребностями и индивидуальными возможностями: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сетевые;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модульные;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дистанционные;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адаптированные;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краткосрочные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 реализуемые в каникулярный период и период летнего отдыха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C628EA" w:rsidRDefault="00F80269" w:rsidP="00F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F80269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практики вовлечения в разработку дополнительных общеобразовательных программ обучающихся, представителей общественных объединений, работодателей и родительской общественности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F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61225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D3749B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модели «мобильного» дополнительного образования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 w:rsidR="00D3749B" w:rsidRDefault="00D3749B" w:rsidP="00D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организации.</w:t>
            </w:r>
          </w:p>
          <w:p w:rsidR="00C628EA" w:rsidRDefault="00D3749B" w:rsidP="00D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– Муниципальный опорный центр дополнительного образования</w:t>
            </w:r>
            <w:r w:rsidR="009175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C628EA" w:rsidRDefault="00D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ДЮСШ, 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МКУ ИМЦ</w:t>
            </w:r>
          </w:p>
          <w:p w:rsidR="004D57B8" w:rsidRDefault="004D5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D3749B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9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612256">
              <w:rPr>
                <w:rFonts w:ascii="Times New Roman" w:hAnsi="Times New Roman"/>
                <w:sz w:val="24"/>
                <w:szCs w:val="24"/>
              </w:rPr>
              <w:t xml:space="preserve"> дополнительных общеобразовательных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</w:t>
            </w:r>
            <w:r w:rsidR="00612256">
              <w:rPr>
                <w:rFonts w:ascii="Times New Roman" w:hAnsi="Times New Roman"/>
                <w:sz w:val="24"/>
                <w:szCs w:val="24"/>
              </w:rPr>
              <w:t xml:space="preserve">  в Региональном межведомственном банке эффективных (лучших) практик в системе дополнительного образования детей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 w:rsidR="00D3749B" w:rsidRDefault="00D3749B" w:rsidP="00D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49B" w:rsidRDefault="00D3749B" w:rsidP="00D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– Муниципальный опорный центр дополнительного образования</w:t>
            </w:r>
            <w:r w:rsidR="009175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C628EA" w:rsidRDefault="00C628EA" w:rsidP="00D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D3749B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методических рекомендаций по вопросам предоставления возможностей зачета организацией, осуществляющей образовательную деятельность по основным общеобразовательным программам, результатов освоения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D3749B" w:rsidP="00D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МБУ ДО ДДТ – Муниципальный опорный центр дополнительного образования</w:t>
            </w:r>
            <w:r w:rsidR="009175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D3749B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B3B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механизмов зачета организацией, осуществляющей образовательную деятельность по основным общеобразовательным программам, результатов освоения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8B3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61225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8B3B99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независимой оценки качества подготовки обучающихся и условий осуществления образовательной деятельности образовательными организациями, реализующими дополнительные общеобразовательные программы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 w:rsidR="008B3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3B99" w:rsidRDefault="008B3B99" w:rsidP="008B3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B99" w:rsidRDefault="008B3B99" w:rsidP="008B3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– Муниципальный опорный центр дополнительного образования</w:t>
            </w:r>
            <w:r w:rsidR="009175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C628EA" w:rsidRDefault="008B3B99" w:rsidP="008B3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</w:tr>
      <w:tr w:rsidR="00C628EA" w:rsidTr="004D57B8">
        <w:trPr>
          <w:tblHeader/>
        </w:trPr>
        <w:tc>
          <w:tcPr>
            <w:tcW w:w="14502" w:type="dxa"/>
            <w:gridSpan w:val="5"/>
            <w:shd w:val="clear" w:color="auto" w:fill="auto"/>
            <w:noWrap/>
          </w:tcPr>
          <w:p w:rsidR="00C628EA" w:rsidRDefault="00B078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</w:t>
            </w:r>
            <w:r w:rsidR="00612256">
              <w:rPr>
                <w:rFonts w:ascii="Times New Roman" w:hAnsi="Times New Roman"/>
                <w:b/>
                <w:sz w:val="24"/>
                <w:szCs w:val="24"/>
              </w:rPr>
              <w:t xml:space="preserve"> системой дополнительного образования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8B3B99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нормативных правовых актов</w:t>
            </w:r>
            <w:r w:rsidR="008B3B99">
              <w:rPr>
                <w:rFonts w:ascii="Times New Roman" w:hAnsi="Times New Roman"/>
                <w:sz w:val="24"/>
                <w:szCs w:val="24"/>
              </w:rPr>
              <w:t>, регламентирующих деятельность</w:t>
            </w:r>
            <w:r w:rsidR="00B07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положений  Целевой модели развития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 правовые акты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A795C" w:rsidP="006A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 ДО ДДТ - _ муниципальный опорный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дополнительного образования</w:t>
            </w:r>
            <w:r w:rsidR="009175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A795C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нормативных правовых актов, регламентирующих деятельность Муниципальных опорных центров с учетом положений  Целевой модели развития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 правовые акты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A795C" w:rsidP="006A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A795C" w:rsidP="004D57B8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мониторинга внедрения целевой модели развития региональной системы дополнительного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91753F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A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ИМЦ, о</w:t>
            </w:r>
            <w:r w:rsidR="00612256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A795C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сопровождение внедрения и реализации Целевой модели развития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6A795C" w:rsidRDefault="006A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95C" w:rsidRDefault="006A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6A795C" w:rsidRDefault="006A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ИМЦ</w:t>
            </w:r>
          </w:p>
        </w:tc>
      </w:tr>
      <w:tr w:rsidR="00C628EA" w:rsidTr="004D57B8">
        <w:trPr>
          <w:trHeight w:val="403"/>
        </w:trPr>
        <w:tc>
          <w:tcPr>
            <w:tcW w:w="14502" w:type="dxa"/>
            <w:gridSpan w:val="5"/>
            <w:shd w:val="clear" w:color="auto" w:fill="auto"/>
            <w:noWrap/>
          </w:tcPr>
          <w:p w:rsidR="00C628EA" w:rsidRDefault="006122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Организационно-финансовая </w:t>
            </w:r>
            <w:r w:rsidR="006A795C">
              <w:rPr>
                <w:rFonts w:ascii="Times New Roman" w:hAnsi="Times New Roman"/>
                <w:b/>
                <w:sz w:val="24"/>
                <w:szCs w:val="24"/>
              </w:rPr>
              <w:t>структура муниципальной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системы дополнительного образования детей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мер по развитию системы персонифицированного финансирования дополнительного образования детей, актуализация нормативной правовой базы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D652A" w:rsidP="006D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ИМЙ, 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Информационные, методические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9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ИМЦ, 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механизма регистрации организаций, осуществляющих образовательную деятельность по дополнительным общеобразовательным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программам, различной ведомственной принадлежности,  формы собственности и организационно-правовой формы в программном навигаторе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31.12.2024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от образовательных организаций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91753F" w:rsidP="008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механизма включения в региональный программный навигатор данных о дополнительных общеобразовательных программах, реализуемых организациями, осуществляющими образовательную деятельность по дополнительным общеобразовательным программам, различной ведомственной принадлежности,  формы собственности и организационно-правовой формы в программном навигаторе</w:t>
            </w:r>
            <w:proofErr w:type="gramEnd"/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C628EA" w:rsidRDefault="008526E5" w:rsidP="008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ИМЦ, МБУ ДО ДДТ – муниципальный опорный центр дополнительного образования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 получению детьми в возрасте от 5 до 18 лет сертификатов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сертификатов 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852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МБУ ДО ДДТ – муниципальный опорный центр дополнительного образования</w:t>
            </w:r>
            <w:r w:rsidR="00DF068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225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 зачислению обучающихся  в объединения дополнительного образования на общедоступной основе через систему «Программный навигатор дополнительного образования детей Тамбовской области»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Мониторинговые статистические данные</w:t>
            </w:r>
          </w:p>
        </w:tc>
        <w:tc>
          <w:tcPr>
            <w:tcW w:w="3228" w:type="dxa"/>
            <w:shd w:val="clear" w:color="auto" w:fill="auto"/>
            <w:noWrap/>
          </w:tcPr>
          <w:p w:rsidR="008526E5" w:rsidRDefault="00612256" w:rsidP="008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r w:rsidR="008526E5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8526E5" w:rsidRDefault="008526E5" w:rsidP="008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– муниципальный опорный центр дополнительного образования</w:t>
            </w:r>
            <w:r w:rsidR="00DF068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оплаты образовательных услуг, оказываемых по сертификатам персонифицированного финансирования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внедрения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01.01.2020 -31.12.2024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раз в год на муниципальном уровне)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(1-2 раза в месяц на внутриучрежденческом уровне)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акты муниципального уровня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Локальные акты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организаций и образовательных организаций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336B5E" w:rsidP="0033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модели персонифицированного финансирования  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DF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.МКУ</w:t>
            </w:r>
            <w:r w:rsidR="00336B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ИМЦ, МБУ ДО ДДТ – муниципальный опорный цент</w:t>
            </w:r>
            <w:r w:rsidR="002D4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р, образовательные организации</w:t>
            </w:r>
          </w:p>
        </w:tc>
      </w:tr>
      <w:tr w:rsidR="00C628EA" w:rsidTr="001B49AC">
        <w:trPr>
          <w:trHeight w:val="403"/>
        </w:trPr>
        <w:tc>
          <w:tcPr>
            <w:tcW w:w="1273" w:type="dxa"/>
            <w:shd w:val="clear" w:color="auto" w:fill="auto"/>
            <w:noWrap/>
          </w:tcPr>
          <w:p w:rsidR="00C628EA" w:rsidRDefault="00C628EA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9" w:type="dxa"/>
            <w:gridSpan w:val="4"/>
            <w:shd w:val="clear" w:color="auto" w:fill="auto"/>
            <w:noWrap/>
            <w:vAlign w:val="center"/>
          </w:tcPr>
          <w:p w:rsidR="00C628EA" w:rsidRDefault="006122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региональной системы дополнительного образования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2D426E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стажировок педагогических работников дополнительного образования в организациях реального сектора экономики и других профессиональных сфер, соответствующих направлениям дополнительных общеобразовательных программ, реализуемых педагогическими работниками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стажировок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5F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ИМЦ, 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4D57B8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612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F6AB3">
              <w:rPr>
                <w:rFonts w:ascii="Times New Roman" w:hAnsi="Times New Roman"/>
                <w:sz w:val="24"/>
                <w:szCs w:val="24"/>
              </w:rPr>
              <w:t xml:space="preserve"> муниципальных этапов Всероссийских конкурсов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мастерства в сфере дополнительного образования: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Сердце отдаю детям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Воспитать человека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Формула успеха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Панорама методических кейсов дополнительных общеобразовательных программ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программно-методических материалов и др.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7E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образования. МКУ ИМЦ, 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 w:rsidP="004D57B8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D57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практики наставничества во всех образовательных организациях, осуществляющих образовательную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дополнительным общеобразовательным программам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акты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noWrap/>
          </w:tcPr>
          <w:p w:rsidR="00C628EA" w:rsidRDefault="007E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образования, МКУ ИМЦ, образовательные организации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 w:rsidP="004D57B8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4D57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модели эффективного контракта в организациях дополнительного образования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  <w:p w:rsidR="00C628EA" w:rsidRDefault="00C6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8" w:type="dxa"/>
            <w:shd w:val="clear" w:color="auto" w:fill="auto"/>
            <w:noWrap/>
          </w:tcPr>
          <w:p w:rsidR="00C628EA" w:rsidRDefault="007E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образования, МБУ ДО ДДТ, МБУ ДО ДЮСШ, МБУ ДО СЮТ</w:t>
            </w:r>
          </w:p>
        </w:tc>
      </w:tr>
      <w:tr w:rsidR="00C628EA" w:rsidTr="004D57B8">
        <w:trPr>
          <w:trHeight w:val="403"/>
        </w:trPr>
        <w:tc>
          <w:tcPr>
            <w:tcW w:w="14502" w:type="dxa"/>
            <w:gridSpan w:val="5"/>
            <w:shd w:val="clear" w:color="auto" w:fill="auto"/>
            <w:noWrap/>
          </w:tcPr>
          <w:p w:rsidR="00C628EA" w:rsidRDefault="006122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инфраструктурных и материально-технических ресурсов </w:t>
            </w:r>
          </w:p>
          <w:p w:rsidR="00C628EA" w:rsidRDefault="007E0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муниципальной</w:t>
            </w:r>
            <w:r w:rsidR="00612256">
              <w:rPr>
                <w:rFonts w:ascii="Times New Roman" w:hAnsi="Times New Roman"/>
                <w:b/>
                <w:sz w:val="24"/>
                <w:szCs w:val="24"/>
              </w:rPr>
              <w:t xml:space="preserve"> системе дополнительного образования детей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инвентаризации существующих инфраструктурных и материально-технических ресурсов дополнительного образования детей 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C6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8EA" w:rsidRDefault="00C6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1D8">
              <w:rPr>
                <w:rFonts w:ascii="Times New Roman" w:hAnsi="Times New Roman"/>
                <w:sz w:val="24"/>
                <w:szCs w:val="24"/>
              </w:rPr>
              <w:t>Отдел образования, МКУ ИМЦ,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делам культуры, спорта и вопросам молодежной политики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оптимизации использования существующих инфраструктурных и материально-технических ресурсов дополнительного образования детей для создания дополнительных мест или улучшения условий реализации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C6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8EA" w:rsidRDefault="00C6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ИМЦ, отдел по делам культуры, спорта и вопросам молодежной политики</w:t>
            </w:r>
          </w:p>
        </w:tc>
      </w:tr>
      <w:tr w:rsidR="00C628EA" w:rsidTr="001B49AC">
        <w:tc>
          <w:tcPr>
            <w:tcW w:w="1273" w:type="dxa"/>
            <w:shd w:val="clear" w:color="auto" w:fill="auto"/>
            <w:noWrap/>
          </w:tcPr>
          <w:p w:rsidR="00C628EA" w:rsidRDefault="00612256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18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использования результатов инвентаризации существующих инфраструктурных и материально-технических ресурсов дополнительного образования детей для создания дополнительных мест или улучшения условий реализации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C628EA" w:rsidRDefault="0061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628EA" w:rsidRDefault="00C6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 w:rsidR="00C628EA" w:rsidRDefault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 w:rsidR="00C628EA" w:rsidRDefault="00612256" w:rsidP="0061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образования. Учреждения дополнительного образования</w:t>
            </w:r>
          </w:p>
        </w:tc>
      </w:tr>
    </w:tbl>
    <w:p w:rsidR="00C628EA" w:rsidRDefault="00C628EA" w:rsidP="004D57B8"/>
    <w:sectPr w:rsidR="00C628EA" w:rsidSect="00C628EA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DEE"/>
    <w:multiLevelType w:val="multilevel"/>
    <w:tmpl w:val="18BB6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99F"/>
    <w:rsid w:val="000014C6"/>
    <w:rsid w:val="000075DB"/>
    <w:rsid w:val="00027F0F"/>
    <w:rsid w:val="000358CD"/>
    <w:rsid w:val="0004020E"/>
    <w:rsid w:val="000448C2"/>
    <w:rsid w:val="0005193B"/>
    <w:rsid w:val="00052619"/>
    <w:rsid w:val="000713C5"/>
    <w:rsid w:val="000904A3"/>
    <w:rsid w:val="000A24F2"/>
    <w:rsid w:val="000A47CC"/>
    <w:rsid w:val="000C2945"/>
    <w:rsid w:val="000C2A06"/>
    <w:rsid w:val="000C555E"/>
    <w:rsid w:val="000D4C8C"/>
    <w:rsid w:val="000E14CF"/>
    <w:rsid w:val="000E2D40"/>
    <w:rsid w:val="000E384F"/>
    <w:rsid w:val="000F335C"/>
    <w:rsid w:val="00120AFD"/>
    <w:rsid w:val="001242EB"/>
    <w:rsid w:val="00130C9A"/>
    <w:rsid w:val="0014699F"/>
    <w:rsid w:val="00194E4B"/>
    <w:rsid w:val="001B49AC"/>
    <w:rsid w:val="002105B8"/>
    <w:rsid w:val="00217A09"/>
    <w:rsid w:val="00237484"/>
    <w:rsid w:val="00261C5E"/>
    <w:rsid w:val="00265ABF"/>
    <w:rsid w:val="00297247"/>
    <w:rsid w:val="002A7F15"/>
    <w:rsid w:val="002B204E"/>
    <w:rsid w:val="002D426E"/>
    <w:rsid w:val="00315574"/>
    <w:rsid w:val="003330C5"/>
    <w:rsid w:val="00333A37"/>
    <w:rsid w:val="00336B5E"/>
    <w:rsid w:val="00367580"/>
    <w:rsid w:val="003834E1"/>
    <w:rsid w:val="00395F5F"/>
    <w:rsid w:val="003A2390"/>
    <w:rsid w:val="003A7373"/>
    <w:rsid w:val="003D1264"/>
    <w:rsid w:val="00436F82"/>
    <w:rsid w:val="004643A7"/>
    <w:rsid w:val="004746A7"/>
    <w:rsid w:val="00480C3E"/>
    <w:rsid w:val="0048137D"/>
    <w:rsid w:val="004D0F98"/>
    <w:rsid w:val="004D57B8"/>
    <w:rsid w:val="004D6EDA"/>
    <w:rsid w:val="00543860"/>
    <w:rsid w:val="0055198B"/>
    <w:rsid w:val="005533F0"/>
    <w:rsid w:val="005608AB"/>
    <w:rsid w:val="00566F6A"/>
    <w:rsid w:val="005D71ED"/>
    <w:rsid w:val="005F6AB3"/>
    <w:rsid w:val="00612256"/>
    <w:rsid w:val="0061506B"/>
    <w:rsid w:val="00691515"/>
    <w:rsid w:val="0069782C"/>
    <w:rsid w:val="006A795C"/>
    <w:rsid w:val="006B4031"/>
    <w:rsid w:val="006C15FD"/>
    <w:rsid w:val="006D652A"/>
    <w:rsid w:val="00732859"/>
    <w:rsid w:val="007354D2"/>
    <w:rsid w:val="00754DDC"/>
    <w:rsid w:val="00760C28"/>
    <w:rsid w:val="00762DB5"/>
    <w:rsid w:val="007738ED"/>
    <w:rsid w:val="007825F9"/>
    <w:rsid w:val="0079520F"/>
    <w:rsid w:val="007A4632"/>
    <w:rsid w:val="007C7D8E"/>
    <w:rsid w:val="007E01D8"/>
    <w:rsid w:val="007F689E"/>
    <w:rsid w:val="008526E5"/>
    <w:rsid w:val="00862EB9"/>
    <w:rsid w:val="00877FC3"/>
    <w:rsid w:val="0088441A"/>
    <w:rsid w:val="008B3B99"/>
    <w:rsid w:val="008B4C4F"/>
    <w:rsid w:val="008E2B29"/>
    <w:rsid w:val="0091753F"/>
    <w:rsid w:val="009640E9"/>
    <w:rsid w:val="0098551A"/>
    <w:rsid w:val="00995A23"/>
    <w:rsid w:val="00997A6E"/>
    <w:rsid w:val="009C25D6"/>
    <w:rsid w:val="009E655A"/>
    <w:rsid w:val="00A00855"/>
    <w:rsid w:val="00A052AA"/>
    <w:rsid w:val="00A57173"/>
    <w:rsid w:val="00A87C8D"/>
    <w:rsid w:val="00A90682"/>
    <w:rsid w:val="00AB0454"/>
    <w:rsid w:val="00B06CA3"/>
    <w:rsid w:val="00B078BC"/>
    <w:rsid w:val="00B12001"/>
    <w:rsid w:val="00B41014"/>
    <w:rsid w:val="00B45645"/>
    <w:rsid w:val="00B510E9"/>
    <w:rsid w:val="00B6221C"/>
    <w:rsid w:val="00B758F7"/>
    <w:rsid w:val="00B766EF"/>
    <w:rsid w:val="00B853BC"/>
    <w:rsid w:val="00BB718B"/>
    <w:rsid w:val="00BE24FD"/>
    <w:rsid w:val="00BE3CE5"/>
    <w:rsid w:val="00BE4149"/>
    <w:rsid w:val="00BF4D46"/>
    <w:rsid w:val="00BF6D4A"/>
    <w:rsid w:val="00C03CDC"/>
    <w:rsid w:val="00C16713"/>
    <w:rsid w:val="00C2713E"/>
    <w:rsid w:val="00C458B0"/>
    <w:rsid w:val="00C61DDC"/>
    <w:rsid w:val="00C628EA"/>
    <w:rsid w:val="00C62DB5"/>
    <w:rsid w:val="00C64FB7"/>
    <w:rsid w:val="00C849C4"/>
    <w:rsid w:val="00C9215B"/>
    <w:rsid w:val="00CA6436"/>
    <w:rsid w:val="00CB3F24"/>
    <w:rsid w:val="00CE631B"/>
    <w:rsid w:val="00CF6268"/>
    <w:rsid w:val="00D141D6"/>
    <w:rsid w:val="00D305B5"/>
    <w:rsid w:val="00D3749B"/>
    <w:rsid w:val="00D52019"/>
    <w:rsid w:val="00D5422D"/>
    <w:rsid w:val="00D54D9E"/>
    <w:rsid w:val="00D6382F"/>
    <w:rsid w:val="00D85559"/>
    <w:rsid w:val="00D90F35"/>
    <w:rsid w:val="00D92FE9"/>
    <w:rsid w:val="00D94F89"/>
    <w:rsid w:val="00DC329A"/>
    <w:rsid w:val="00DC5760"/>
    <w:rsid w:val="00DE5535"/>
    <w:rsid w:val="00DF0686"/>
    <w:rsid w:val="00DF4EBC"/>
    <w:rsid w:val="00E251C4"/>
    <w:rsid w:val="00E27589"/>
    <w:rsid w:val="00E5082C"/>
    <w:rsid w:val="00E65F42"/>
    <w:rsid w:val="00E72927"/>
    <w:rsid w:val="00EA0AFA"/>
    <w:rsid w:val="00ED6061"/>
    <w:rsid w:val="00EE27EE"/>
    <w:rsid w:val="00EF31A0"/>
    <w:rsid w:val="00F02D13"/>
    <w:rsid w:val="00F042E3"/>
    <w:rsid w:val="00F3571B"/>
    <w:rsid w:val="00F53AB8"/>
    <w:rsid w:val="00F66327"/>
    <w:rsid w:val="00F67A23"/>
    <w:rsid w:val="00F80269"/>
    <w:rsid w:val="00F90270"/>
    <w:rsid w:val="00F95349"/>
    <w:rsid w:val="00FA52B6"/>
    <w:rsid w:val="00FB52C7"/>
    <w:rsid w:val="00FC7B3D"/>
    <w:rsid w:val="00FD7EBF"/>
    <w:rsid w:val="00FE2353"/>
    <w:rsid w:val="680B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8E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C628EA"/>
    <w:rPr>
      <w:color w:val="954F72"/>
      <w:u w:val="single"/>
    </w:rPr>
  </w:style>
  <w:style w:type="character" w:styleId="a5">
    <w:name w:val="Hyperlink"/>
    <w:uiPriority w:val="99"/>
    <w:unhideWhenUsed/>
    <w:rsid w:val="00C628EA"/>
    <w:rPr>
      <w:color w:val="0563C1"/>
      <w:u w:val="single"/>
    </w:rPr>
  </w:style>
  <w:style w:type="table" w:styleId="a6">
    <w:name w:val="Table Grid"/>
    <w:basedOn w:val="a1"/>
    <w:uiPriority w:val="39"/>
    <w:rsid w:val="00C6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</cp:lastModifiedBy>
  <cp:revision>15</cp:revision>
  <cp:lastPrinted>2020-05-13T08:10:00Z</cp:lastPrinted>
  <dcterms:created xsi:type="dcterms:W3CDTF">2020-03-30T14:44:00Z</dcterms:created>
  <dcterms:modified xsi:type="dcterms:W3CDTF">2020-05-13T08:10:00Z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